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media/image1.jpeg" ContentType="image/jpeg"/>
  <Override PartName="/word/media/image2.jpeg" ContentType="image/jpeg"/>
  <Override PartName="/word/media/image3.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body>
    <w:p>
      <w:pPr>
        <w:pStyle w:val="style0"/>
      </w:pPr>
      <w:r>
        <w:rPr>
          <w:b/>
          <w:lang w:val="cs-CZ"/>
        </w:rPr>
        <w:t>Trading plán</w:t>
      </w:r>
    </w:p>
    <w:p>
      <w:pPr>
        <w:pStyle w:val="style0"/>
      </w:pPr>
      <w:r>
        <w:rPr>
          <w:lang w:val="cs-CZ"/>
        </w:rPr>
        <w:t>Strategie, které budu obchodovat:</w:t>
      </w:r>
    </w:p>
    <w:p>
      <w:pPr>
        <w:pStyle w:val="style21"/>
        <w:numPr>
          <w:ilvl w:val="0"/>
          <w:numId w:val="1"/>
        </w:numPr>
      </w:pPr>
      <w:r>
        <w:rPr>
          <w:b/>
          <w:lang w:val="cs-CZ"/>
        </w:rPr>
        <w:t>Odrazy od supportů a rezistencí</w:t>
      </w:r>
      <w:r>
        <w:rPr>
          <w:lang w:val="cs-CZ"/>
        </w:rPr>
        <w:t xml:space="preserve"> </w:t>
      </w:r>
    </w:p>
    <w:p>
      <w:pPr>
        <w:pStyle w:val="style21"/>
        <w:numPr>
          <w:ilvl w:val="0"/>
          <w:numId w:val="1"/>
        </w:numPr>
      </w:pPr>
      <w:r>
        <w:rPr>
          <w:b/>
          <w:lang w:val="cs-CZ"/>
        </w:rPr>
        <w:t>Trojúhelníkové formace a vlajky v silných trendech</w:t>
      </w:r>
    </w:p>
    <w:p>
      <w:pPr>
        <w:pStyle w:val="style21"/>
        <w:numPr>
          <w:ilvl w:val="0"/>
          <w:numId w:val="1"/>
        </w:numPr>
      </w:pPr>
      <w:r>
        <w:rPr>
          <w:b/>
          <w:lang w:val="cs-CZ"/>
        </w:rPr>
        <w:t>Squeeze v trojúhelníkové formaci</w:t>
      </w:r>
    </w:p>
    <w:p>
      <w:pPr>
        <w:pStyle w:val="style0"/>
      </w:pPr>
      <w:r>
        <w:rPr>
          <w:lang w:val="cs-CZ"/>
        </w:rPr>
        <w:t>Časové rámce:</w:t>
      </w:r>
    </w:p>
    <w:p>
      <w:pPr>
        <w:pStyle w:val="style0"/>
      </w:pPr>
      <w:r>
        <w:rPr>
          <w:lang w:val="cs-CZ"/>
        </w:rPr>
        <w:t>W,D, 4H, 1H (pro potvrzení a agresivnější obchody 30M)</w:t>
      </w:r>
    </w:p>
    <w:p>
      <w:pPr>
        <w:pStyle w:val="style0"/>
      </w:pPr>
      <w:r>
        <w:rPr>
          <w:lang w:val="cs-CZ"/>
        </w:rPr>
      </w:r>
    </w:p>
    <w:p>
      <w:pPr>
        <w:pStyle w:val="style0"/>
      </w:pPr>
      <w:r>
        <w:rPr>
          <w:b/>
          <w:lang w:val="cs-CZ"/>
        </w:rPr>
        <w:t>Strategie odraz od supportu, rezistence nebo symetrie:</w:t>
      </w:r>
    </w:p>
    <w:p>
      <w:pPr>
        <w:pStyle w:val="style21"/>
        <w:numPr>
          <w:ilvl w:val="0"/>
          <w:numId w:val="5"/>
        </w:numPr>
      </w:pPr>
      <w:r>
        <w:rPr>
          <w:lang w:val="cs-CZ"/>
        </w:rPr>
        <w:t>Cena na významné W nebo D S/R úrovni (určit můžeme také dle Fibo Expanze z předchozích swingů)</w:t>
      </w:r>
    </w:p>
    <w:p>
      <w:pPr>
        <w:pStyle w:val="style21"/>
        <w:numPr>
          <w:ilvl w:val="0"/>
          <w:numId w:val="5"/>
        </w:numPr>
      </w:pPr>
      <w:r>
        <w:rPr>
          <w:lang w:val="cs-CZ"/>
        </w:rPr>
        <w:t>Pro vstup použít překřížení KP 8/34 EMA na 4H, 1H nebo 30M (dle obchodního stylu)</w:t>
      </w:r>
    </w:p>
    <w:p>
      <w:pPr>
        <w:pStyle w:val="style21"/>
        <w:numPr>
          <w:ilvl w:val="0"/>
          <w:numId w:val="5"/>
        </w:numPr>
      </w:pPr>
      <w:r>
        <w:rPr>
          <w:lang w:val="cs-CZ"/>
        </w:rPr>
        <w:t>Pravděpodobný cíl musí splňovat RRR 1:2 – 1:3</w:t>
      </w:r>
    </w:p>
    <w:p>
      <w:pPr>
        <w:pStyle w:val="style21"/>
        <w:numPr>
          <w:ilvl w:val="0"/>
          <w:numId w:val="5"/>
        </w:numPr>
      </w:pPr>
      <w:r>
        <w:rPr>
          <w:lang w:val="cs-CZ"/>
        </w:rPr>
        <w:t>Stop umístit pod/nad SR úroveň (v rámci MM 1%-2%)</w:t>
      </w:r>
    </w:p>
    <w:p>
      <w:pPr>
        <w:pStyle w:val="style21"/>
        <w:numPr>
          <w:ilvl w:val="0"/>
          <w:numId w:val="5"/>
        </w:numPr>
      </w:pPr>
      <w:r>
        <w:rPr>
          <w:lang w:val="cs-CZ"/>
        </w:rPr>
        <w:t>Pokud bude pozice ve 100% zisku, tak posunout stop na BE</w:t>
      </w:r>
    </w:p>
    <w:p>
      <w:pPr>
        <w:pStyle w:val="style0"/>
      </w:pPr>
      <w:r>
        <w:rPr>
          <w:lang w:val="cs-CZ"/>
        </w:rPr>
      </w:r>
    </w:p>
    <w:p>
      <w:pPr>
        <w:pStyle w:val="style0"/>
      </w:pPr>
      <w:r>
        <w:rPr/>
        <w:drawing>
          <wp:inline distB="0" distL="0" distR="0" distT="0">
            <wp:extent cx="5731510" cy="3252470"/>
            <wp:effectExtent b="0" l="0" r="0" t="0"/>
            <wp:docPr descr="" id="0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" id="0" name="Picture"/>
                    <pic:cNvPicPr>
                      <a:picLocks noChangeArrowheads="1" noChangeAspect="1"/>
                    </pic:cNvPicPr>
                  </pic:nvPicPr>
                  <pic:blipFill>
                    <a:blip r:embed="rId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252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style0"/>
      </w:pPr>
      <w:r>
        <w:rPr>
          <w:lang w:val="cs-CZ"/>
        </w:rPr>
      </w:r>
    </w:p>
    <w:p>
      <w:pPr>
        <w:pStyle w:val="style0"/>
      </w:pPr>
      <w:r>
        <w:rPr>
          <w:b/>
          <w:lang w:val="cs-CZ"/>
        </w:rPr>
      </w:r>
    </w:p>
    <w:p>
      <w:pPr>
        <w:pStyle w:val="style0"/>
      </w:pPr>
      <w:r>
        <w:rPr>
          <w:b/>
          <w:lang w:val="cs-CZ"/>
        </w:rPr>
      </w:r>
    </w:p>
    <w:p>
      <w:pPr>
        <w:pStyle w:val="style0"/>
      </w:pPr>
      <w:r>
        <w:rPr>
          <w:b/>
          <w:lang w:val="cs-CZ"/>
        </w:rPr>
      </w:r>
    </w:p>
    <w:p>
      <w:pPr>
        <w:pStyle w:val="style0"/>
      </w:pPr>
      <w:r>
        <w:rPr>
          <w:b/>
          <w:lang w:val="cs-CZ"/>
        </w:rPr>
      </w:r>
    </w:p>
    <w:p>
      <w:pPr>
        <w:pStyle w:val="style0"/>
      </w:pPr>
      <w:r>
        <w:rPr>
          <w:b/>
          <w:lang w:val="cs-CZ"/>
        </w:rPr>
      </w:r>
    </w:p>
    <w:p>
      <w:pPr>
        <w:pStyle w:val="style0"/>
      </w:pPr>
      <w:r>
        <w:rPr>
          <w:b/>
          <w:lang w:val="cs-CZ"/>
        </w:rPr>
        <w:t>Strategie Trojúhelníkové formace a vlajky v silných trendech:</w:t>
      </w:r>
    </w:p>
    <w:p>
      <w:pPr>
        <w:pStyle w:val="style21"/>
        <w:numPr>
          <w:ilvl w:val="0"/>
          <w:numId w:val="2"/>
        </w:numPr>
      </w:pPr>
      <w:r>
        <w:rPr>
          <w:lang w:val="cs-CZ"/>
        </w:rPr>
        <w:t>Klouzavé průměry na obchodovaném grafu seřazeny jeden nad druhým (8,34,200)</w:t>
      </w:r>
    </w:p>
    <w:p>
      <w:pPr>
        <w:pStyle w:val="style21"/>
        <w:numPr>
          <w:ilvl w:val="0"/>
          <w:numId w:val="2"/>
        </w:numPr>
      </w:pPr>
      <w:r>
        <w:rPr>
          <w:lang w:val="cs-CZ"/>
        </w:rPr>
        <w:t>W, D, H4 musí být ve stejném trendu</w:t>
      </w:r>
    </w:p>
    <w:p>
      <w:pPr>
        <w:pStyle w:val="style21"/>
        <w:numPr>
          <w:ilvl w:val="0"/>
          <w:numId w:val="2"/>
        </w:numPr>
      </w:pPr>
      <w:r>
        <w:rPr>
          <w:lang w:val="cs-CZ"/>
        </w:rPr>
        <w:t>Cena v trendovém kanále (při long obchodech u spodní trend line a u short obráceně)</w:t>
      </w:r>
    </w:p>
    <w:p>
      <w:pPr>
        <w:pStyle w:val="style21"/>
        <w:numPr>
          <w:ilvl w:val="0"/>
          <w:numId w:val="2"/>
        </w:numPr>
      </w:pPr>
      <w:r>
        <w:rPr>
          <w:lang w:val="cs-CZ"/>
        </w:rPr>
        <w:t>Pullback k EMA 34</w:t>
      </w:r>
    </w:p>
    <w:p>
      <w:pPr>
        <w:pStyle w:val="style21"/>
        <w:numPr>
          <w:ilvl w:val="0"/>
          <w:numId w:val="2"/>
        </w:numPr>
      </w:pPr>
      <w:r>
        <w:rPr>
          <w:lang w:val="cs-CZ"/>
        </w:rPr>
        <w:t>Vstup po uzavření svíčky nad/pod předchozí svíčkou</w:t>
      </w:r>
    </w:p>
    <w:p>
      <w:pPr>
        <w:pStyle w:val="style21"/>
        <w:numPr>
          <w:ilvl w:val="0"/>
          <w:numId w:val="2"/>
        </w:numPr>
      </w:pPr>
      <w:r>
        <w:rPr>
          <w:lang w:val="cs-CZ"/>
        </w:rPr>
        <w:t>Stop pod předchozí low (pod EMA 34) MM max 2%</w:t>
      </w:r>
    </w:p>
    <w:p>
      <w:pPr>
        <w:pStyle w:val="style21"/>
        <w:numPr>
          <w:ilvl w:val="0"/>
          <w:numId w:val="2"/>
        </w:numPr>
      </w:pPr>
      <w:r>
        <w:rPr>
          <w:lang w:val="cs-CZ"/>
        </w:rPr>
        <w:t>Cíl s RRR 1:2 – 1:3</w:t>
      </w:r>
    </w:p>
    <w:p>
      <w:pPr>
        <w:pStyle w:val="style21"/>
        <w:numPr>
          <w:ilvl w:val="0"/>
          <w:numId w:val="2"/>
        </w:numPr>
      </w:pPr>
      <w:r>
        <w:rPr>
          <w:lang w:val="cs-CZ"/>
        </w:rPr>
        <w:t>Pokud bude pozice ve 100% zisku, tak posunout Stop na BE</w:t>
      </w:r>
    </w:p>
    <w:p>
      <w:pPr>
        <w:pStyle w:val="style0"/>
      </w:pPr>
      <w:r>
        <w:rPr>
          <w:lang w:val="cs-CZ"/>
        </w:rPr>
      </w:r>
    </w:p>
    <w:p>
      <w:pPr>
        <w:pStyle w:val="style21"/>
      </w:pPr>
      <w:r>
        <w:rPr>
          <w:lang w:val="cs-CZ"/>
        </w:rPr>
      </w:r>
    </w:p>
    <w:p>
      <w:pPr>
        <w:pStyle w:val="style0"/>
      </w:pPr>
      <w:r>
        <w:rPr/>
        <w:drawing>
          <wp:inline distB="0" distL="0" distR="0" distT="0">
            <wp:extent cx="5731510" cy="3879215"/>
            <wp:effectExtent b="0" l="0" r="0" t="0"/>
            <wp:docPr descr="Obsah obrázku scéna, laserová&#10;&#10;Popis vygenerován s vysokou mírou spolehlivosti" id="1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Obsah obrázku scéna, laserová&#10;&#10;Popis vygenerován s vysokou mírou spolehlivosti" id="1" name="Picture"/>
                    <pic:cNvPicPr>
                      <a:picLocks noChangeArrowheads="1" noChangeAspect="1"/>
                    </pic:cNvPicPr>
                  </pic:nvPicPr>
                  <pic:blipFill>
                    <a:blip r:embed="rId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8792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style0"/>
      </w:pPr>
      <w:r>
        <w:rPr>
          <w:b/>
          <w:lang w:val="cs-CZ"/>
        </w:rPr>
      </w:r>
    </w:p>
    <w:p>
      <w:pPr>
        <w:pStyle w:val="style0"/>
      </w:pPr>
      <w:r>
        <w:rPr>
          <w:b/>
          <w:lang w:val="cs-CZ"/>
        </w:rPr>
      </w:r>
    </w:p>
    <w:p>
      <w:pPr>
        <w:pStyle w:val="style0"/>
      </w:pPr>
      <w:r>
        <w:rPr>
          <w:b/>
          <w:lang w:val="cs-CZ"/>
        </w:rPr>
      </w:r>
    </w:p>
    <w:p>
      <w:pPr>
        <w:pStyle w:val="style0"/>
      </w:pPr>
      <w:r>
        <w:rPr>
          <w:b/>
          <w:lang w:val="cs-CZ"/>
        </w:rPr>
      </w:r>
    </w:p>
    <w:p>
      <w:pPr>
        <w:pStyle w:val="style0"/>
      </w:pPr>
      <w:r>
        <w:rPr>
          <w:b/>
          <w:lang w:val="cs-CZ"/>
        </w:rPr>
      </w:r>
    </w:p>
    <w:p>
      <w:pPr>
        <w:pStyle w:val="style0"/>
      </w:pPr>
      <w:r>
        <w:rPr>
          <w:b/>
          <w:lang w:val="cs-CZ"/>
        </w:rPr>
      </w:r>
    </w:p>
    <w:p>
      <w:pPr>
        <w:pStyle w:val="style0"/>
      </w:pPr>
      <w:r>
        <w:rPr>
          <w:b/>
          <w:lang w:val="cs-CZ"/>
        </w:rPr>
      </w:r>
    </w:p>
    <w:p>
      <w:pPr>
        <w:pStyle w:val="style0"/>
      </w:pPr>
      <w:r>
        <w:rPr>
          <w:b/>
          <w:lang w:val="cs-CZ"/>
        </w:rPr>
      </w:r>
    </w:p>
    <w:p>
      <w:pPr>
        <w:pStyle w:val="style0"/>
      </w:pPr>
      <w:r>
        <w:rPr/>
      </w:r>
    </w:p>
    <w:p>
      <w:pPr>
        <w:pStyle w:val="style0"/>
      </w:pPr>
      <w:r>
        <w:rPr>
          <w:b/>
          <w:lang w:val="cs-CZ"/>
        </w:rPr>
        <w:t>Strategie Squeeze v trojúhelníku nebo vlajkové formaci:</w:t>
      </w:r>
    </w:p>
    <w:p>
      <w:pPr>
        <w:pStyle w:val="style21"/>
        <w:numPr>
          <w:ilvl w:val="0"/>
          <w:numId w:val="6"/>
        </w:numPr>
      </w:pPr>
      <w:r>
        <w:rPr>
          <w:lang w:val="cs-CZ"/>
        </w:rPr>
        <w:t>Klouzavé průměry na obchodovaném grafu seřazeny jeden nad druhým (8,34,200)</w:t>
      </w:r>
    </w:p>
    <w:p>
      <w:pPr>
        <w:pStyle w:val="style21"/>
        <w:numPr>
          <w:ilvl w:val="0"/>
          <w:numId w:val="6"/>
        </w:numPr>
      </w:pPr>
      <w:r>
        <w:rPr>
          <w:lang w:val="cs-CZ"/>
        </w:rPr>
        <w:t>W, D, H4 musí být ve stejném trendu</w:t>
      </w:r>
    </w:p>
    <w:p>
      <w:pPr>
        <w:pStyle w:val="style21"/>
        <w:numPr>
          <w:ilvl w:val="0"/>
          <w:numId w:val="6"/>
        </w:numPr>
      </w:pPr>
      <w:r>
        <w:rPr>
          <w:lang w:val="cs-CZ"/>
        </w:rPr>
        <w:t>Cena v trendovém kanále (při long obchodech u spodní trend line a u short obráceně)</w:t>
      </w:r>
    </w:p>
    <w:p>
      <w:pPr>
        <w:pStyle w:val="style21"/>
        <w:numPr>
          <w:ilvl w:val="0"/>
          <w:numId w:val="6"/>
        </w:numPr>
      </w:pPr>
      <w:r>
        <w:rPr>
          <w:lang w:val="cs-CZ"/>
        </w:rPr>
        <w:t>Pullback k EMA 34</w:t>
      </w:r>
    </w:p>
    <w:p>
      <w:pPr>
        <w:pStyle w:val="style21"/>
        <w:numPr>
          <w:ilvl w:val="0"/>
          <w:numId w:val="6"/>
        </w:numPr>
      </w:pPr>
      <w:r>
        <w:rPr>
          <w:lang w:val="cs-CZ"/>
        </w:rPr>
        <w:t>Squeeze (sledovat momentum)</w:t>
      </w:r>
    </w:p>
    <w:p>
      <w:pPr>
        <w:pStyle w:val="style21"/>
        <w:numPr>
          <w:ilvl w:val="0"/>
          <w:numId w:val="6"/>
        </w:numPr>
      </w:pPr>
      <w:r>
        <w:rPr>
          <w:lang w:val="cs-CZ"/>
        </w:rPr>
        <w:t>Bonus: Squeeze na vyšším grafu, momentum na vyšším grafu v zádech</w:t>
      </w:r>
    </w:p>
    <w:p>
      <w:pPr>
        <w:pStyle w:val="style21"/>
        <w:numPr>
          <w:ilvl w:val="0"/>
          <w:numId w:val="6"/>
        </w:numPr>
      </w:pPr>
      <w:r>
        <w:rPr>
          <w:lang w:val="cs-CZ"/>
        </w:rPr>
        <w:t>Vstup ještě ve Squeezu u pullbacku k EMA 34, při proražení předchozí svíčky</w:t>
      </w:r>
    </w:p>
    <w:p>
      <w:pPr>
        <w:pStyle w:val="style0"/>
      </w:pPr>
      <w:r>
        <w:rPr>
          <w:lang w:val="cs-CZ"/>
        </w:rPr>
      </w:r>
    </w:p>
    <w:p>
      <w:pPr>
        <w:pStyle w:val="style0"/>
      </w:pPr>
      <w:r>
        <w:rPr/>
        <w:drawing>
          <wp:inline distB="0" distL="0" distR="0" distT="0">
            <wp:extent cx="5731510" cy="4630420"/>
            <wp:effectExtent b="0" l="0" r="0" t="0"/>
            <wp:docPr descr="" id="2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" id="2" name="Picture"/>
                    <pic:cNvPicPr>
                      <a:picLocks noChangeArrowheads="1" noChangeAspect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6304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style0"/>
      </w:pPr>
      <w:r>
        <w:rPr>
          <w:lang w:val="cs-CZ"/>
        </w:rPr>
      </w:r>
    </w:p>
    <w:p>
      <w:pPr>
        <w:pStyle w:val="style0"/>
      </w:pPr>
      <w:r>
        <w:rPr>
          <w:b/>
          <w:lang w:val="cs-CZ"/>
        </w:rPr>
      </w:r>
    </w:p>
    <w:p>
      <w:pPr>
        <w:pStyle w:val="style0"/>
      </w:pPr>
      <w:r>
        <w:rPr>
          <w:b/>
          <w:lang w:val="cs-CZ"/>
        </w:rPr>
      </w:r>
    </w:p>
    <w:p>
      <w:pPr>
        <w:pStyle w:val="style0"/>
      </w:pPr>
      <w:r>
        <w:rPr>
          <w:b/>
          <w:lang w:val="cs-CZ"/>
        </w:rPr>
      </w:r>
    </w:p>
    <w:p>
      <w:pPr>
        <w:pStyle w:val="style0"/>
      </w:pPr>
      <w:r>
        <w:rPr>
          <w:b/>
          <w:lang w:val="cs-CZ"/>
        </w:rPr>
        <w:t>Money management:</w:t>
      </w:r>
    </w:p>
    <w:p>
      <w:pPr>
        <w:pStyle w:val="style21"/>
        <w:numPr>
          <w:ilvl w:val="0"/>
          <w:numId w:val="3"/>
        </w:numPr>
      </w:pPr>
      <w:r>
        <w:rPr>
          <w:lang w:val="cs-CZ"/>
        </w:rPr>
        <w:t>Maximální riziko na 1 obchod: 2% (pro konzervativní přístup 1%)</w:t>
      </w:r>
    </w:p>
    <w:p>
      <w:pPr>
        <w:pStyle w:val="style21"/>
        <w:numPr>
          <w:ilvl w:val="0"/>
          <w:numId w:val="3"/>
        </w:numPr>
      </w:pPr>
      <w:r>
        <w:rPr>
          <w:lang w:val="cs-CZ"/>
        </w:rPr>
        <w:t>Maximální počet otevřených obchodů dohromady: 5</w:t>
      </w:r>
    </w:p>
    <w:p>
      <w:pPr>
        <w:pStyle w:val="style21"/>
        <w:numPr>
          <w:ilvl w:val="0"/>
          <w:numId w:val="3"/>
        </w:numPr>
      </w:pPr>
      <w:r>
        <w:rPr>
          <w:lang w:val="cs-CZ"/>
        </w:rPr>
        <w:t>Pozice diverzifikovat napříč páry, které spolu nekorelují, případně komodity a akciové indexy</w:t>
      </w:r>
    </w:p>
    <w:p>
      <w:pPr>
        <w:pStyle w:val="style0"/>
      </w:pPr>
      <w:r>
        <w:rPr>
          <w:b/>
          <w:lang w:val="cs-CZ"/>
        </w:rPr>
        <w:t>Principy:</w:t>
      </w:r>
    </w:p>
    <w:p>
      <w:pPr>
        <w:pStyle w:val="style21"/>
        <w:numPr>
          <w:ilvl w:val="0"/>
          <w:numId w:val="4"/>
        </w:numPr>
      </w:pPr>
      <w:bookmarkStart w:id="0" w:name="_GoBack"/>
      <w:bookmarkEnd w:id="0"/>
      <w:r>
        <w:rPr>
          <w:lang w:val="cs-CZ"/>
        </w:rPr>
        <w:t>Obchodovat v malém</w:t>
      </w:r>
    </w:p>
    <w:p>
      <w:pPr>
        <w:pStyle w:val="style21"/>
        <w:numPr>
          <w:ilvl w:val="0"/>
          <w:numId w:val="4"/>
        </w:numPr>
      </w:pPr>
      <w:r>
        <w:rPr>
          <w:lang w:val="cs-CZ"/>
        </w:rPr>
        <w:t>Neobchodovat za každou cenu často</w:t>
      </w:r>
    </w:p>
    <w:p>
      <w:pPr>
        <w:pStyle w:val="style21"/>
        <w:numPr>
          <w:ilvl w:val="0"/>
          <w:numId w:val="4"/>
        </w:numPr>
      </w:pPr>
      <w:r>
        <w:rPr>
          <w:lang w:val="cs-CZ"/>
        </w:rPr>
        <w:t>Nepřemýšlet nad tím, jak dopadne následující obchod</w:t>
      </w:r>
    </w:p>
    <w:p>
      <w:pPr>
        <w:pStyle w:val="style21"/>
        <w:numPr>
          <w:ilvl w:val="0"/>
          <w:numId w:val="4"/>
        </w:numPr>
      </w:pPr>
      <w:r>
        <w:rPr>
          <w:lang w:val="cs-CZ"/>
        </w:rPr>
        <w:t>Držet se plánu</w:t>
      </w:r>
    </w:p>
    <w:p>
      <w:pPr>
        <w:pStyle w:val="style21"/>
        <w:numPr>
          <w:ilvl w:val="0"/>
          <w:numId w:val="4"/>
        </w:numPr>
      </w:pPr>
      <w:r>
        <w:rPr>
          <w:lang w:val="cs-CZ"/>
        </w:rPr>
        <w:t>Nikdy neporušit MM</w:t>
      </w:r>
    </w:p>
    <w:p>
      <w:pPr>
        <w:pStyle w:val="style0"/>
      </w:pPr>
      <w:r>
        <w:rPr>
          <w:lang w:val="cs-CZ"/>
        </w:rPr>
      </w:r>
    </w:p>
    <w:p>
      <w:pPr>
        <w:pStyle w:val="style0"/>
      </w:pPr>
      <w:r>
        <w:rPr>
          <w:lang w:val="cs-CZ"/>
        </w:rPr>
      </w:r>
    </w:p>
    <w:p>
      <w:pPr>
        <w:pStyle w:val="style21"/>
      </w:pPr>
      <w:r>
        <w:rPr>
          <w:lang w:val="cs-CZ"/>
        </w:rPr>
      </w:r>
    </w:p>
    <w:p>
      <w:pPr>
        <w:pStyle w:val="style21"/>
        <w:spacing w:after="160" w:before="0"/>
        <w:contextualSpacing/>
      </w:pPr>
      <w:r>
        <w:rPr/>
      </w:r>
    </w:p>
    <w:sectPr>
      <w:type w:val="nextPage"/>
      <w:pgSz w:h="16838" w:w="11906"/>
      <w:pgMar w:bottom="1440" w:footer="0" w:gutter="0" w:header="0" w:left="1440" w:right="1440" w:top="1440"/>
      <w:pgNumType w:fmt="decimal"/>
      <w:formProt w:val="false"/>
      <w:textDirection w:val="lrTb"/>
      <w:docGrid w:charSpace="4096" w:linePitch="360" w:type="default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Calibri">
    <w:charset w:val="00"/>
    <w:family w:val="roman"/>
    <w:pitch w:val="variable"/>
  </w:font>
</w:fonts>
</file>

<file path=word/numbering.xml><?xml version="1.0" encoding="utf-8"?>
<w:numbering xmlns:w="http://schemas.openxmlformats.org/wordprocessingml/2006/main">
  <w:abstractNum w:abstractNumId="1">
    <w:lvl w:ilvl="0">
      <w:start w:val="1"/>
      <w:numFmt w:val="decimal"/>
      <w:lvlText w:val="%1."/>
      <w:lvlJc w:val="left"/>
      <w:pPr>
        <w:ind w:hanging="360" w:left="720"/>
      </w:pPr>
    </w:lvl>
    <w:lvl w:ilvl="1">
      <w:start w:val="1"/>
      <w:numFmt w:val="lowerLetter"/>
      <w:lvlText w:val="%2."/>
      <w:lvlJc w:val="left"/>
      <w:pPr>
        <w:ind w:hanging="360" w:left="1440"/>
      </w:pPr>
    </w:lvl>
    <w:lvl w:ilvl="2">
      <w:start w:val="1"/>
      <w:numFmt w:val="lowerRoman"/>
      <w:lvlText w:val="%3."/>
      <w:lvlJc w:val="right"/>
      <w:pPr>
        <w:ind w:hanging="180" w:left="2160"/>
      </w:pPr>
    </w:lvl>
    <w:lvl w:ilvl="3">
      <w:start w:val="1"/>
      <w:numFmt w:val="decimal"/>
      <w:lvlText w:val="%4."/>
      <w:lvlJc w:val="left"/>
      <w:pPr>
        <w:ind w:hanging="360" w:left="2880"/>
      </w:pPr>
    </w:lvl>
    <w:lvl w:ilvl="4">
      <w:start w:val="1"/>
      <w:numFmt w:val="lowerLetter"/>
      <w:lvlText w:val="%5."/>
      <w:lvlJc w:val="left"/>
      <w:pPr>
        <w:ind w:hanging="360" w:left="3600"/>
      </w:pPr>
    </w:lvl>
    <w:lvl w:ilvl="5">
      <w:start w:val="1"/>
      <w:numFmt w:val="lowerRoman"/>
      <w:lvlText w:val="%6."/>
      <w:lvlJc w:val="right"/>
      <w:pPr>
        <w:ind w:hanging="180" w:left="4320"/>
      </w:pPr>
    </w:lvl>
    <w:lvl w:ilvl="6">
      <w:start w:val="1"/>
      <w:numFmt w:val="decimal"/>
      <w:lvlText w:val="%7."/>
      <w:lvlJc w:val="left"/>
      <w:pPr>
        <w:ind w:hanging="360" w:left="5040"/>
      </w:pPr>
    </w:lvl>
    <w:lvl w:ilvl="7">
      <w:start w:val="1"/>
      <w:numFmt w:val="lowerLetter"/>
      <w:lvlText w:val="%8."/>
      <w:lvlJc w:val="left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180" w:left="6480"/>
      </w:pPr>
    </w:lvl>
  </w:abstractNum>
  <w:abstractNum w:abstractNumId="2">
    <w:lvl w:ilvl="0">
      <w:start w:val="1"/>
      <w:numFmt w:val="decimal"/>
      <w:lvlText w:val="%1."/>
      <w:lvlJc w:val="left"/>
      <w:pPr>
        <w:ind w:hanging="360" w:left="720"/>
      </w:pPr>
    </w:lvl>
    <w:lvl w:ilvl="1">
      <w:start w:val="1"/>
      <w:numFmt w:val="lowerLetter"/>
      <w:lvlText w:val="%2."/>
      <w:lvlJc w:val="left"/>
      <w:pPr>
        <w:ind w:hanging="360" w:left="1440"/>
      </w:pPr>
    </w:lvl>
    <w:lvl w:ilvl="2">
      <w:start w:val="1"/>
      <w:numFmt w:val="lowerRoman"/>
      <w:lvlText w:val="%3."/>
      <w:lvlJc w:val="right"/>
      <w:pPr>
        <w:ind w:hanging="180" w:left="2160"/>
      </w:pPr>
    </w:lvl>
    <w:lvl w:ilvl="3">
      <w:start w:val="1"/>
      <w:numFmt w:val="decimal"/>
      <w:lvlText w:val="%4."/>
      <w:lvlJc w:val="left"/>
      <w:pPr>
        <w:ind w:hanging="360" w:left="2880"/>
      </w:pPr>
    </w:lvl>
    <w:lvl w:ilvl="4">
      <w:start w:val="1"/>
      <w:numFmt w:val="lowerLetter"/>
      <w:lvlText w:val="%5."/>
      <w:lvlJc w:val="left"/>
      <w:pPr>
        <w:ind w:hanging="360" w:left="3600"/>
      </w:pPr>
    </w:lvl>
    <w:lvl w:ilvl="5">
      <w:start w:val="1"/>
      <w:numFmt w:val="lowerRoman"/>
      <w:lvlText w:val="%6."/>
      <w:lvlJc w:val="right"/>
      <w:pPr>
        <w:ind w:hanging="180" w:left="4320"/>
      </w:pPr>
    </w:lvl>
    <w:lvl w:ilvl="6">
      <w:start w:val="1"/>
      <w:numFmt w:val="decimal"/>
      <w:lvlText w:val="%7."/>
      <w:lvlJc w:val="left"/>
      <w:pPr>
        <w:ind w:hanging="360" w:left="5040"/>
      </w:pPr>
    </w:lvl>
    <w:lvl w:ilvl="7">
      <w:start w:val="1"/>
      <w:numFmt w:val="lowerLetter"/>
      <w:lvlText w:val="%8."/>
      <w:lvlJc w:val="left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180" w:left="6480"/>
      </w:pPr>
    </w:lvl>
  </w:abstractNum>
  <w:abstractNum w:abstractNumId="3">
    <w:lvl w:ilvl="0">
      <w:start w:val="1"/>
      <w:numFmt w:val="decimal"/>
      <w:lvlText w:val="%1."/>
      <w:lvlJc w:val="left"/>
      <w:pPr>
        <w:ind w:hanging="360" w:left="720"/>
      </w:pPr>
    </w:lvl>
    <w:lvl w:ilvl="1">
      <w:start w:val="1"/>
      <w:numFmt w:val="lowerLetter"/>
      <w:lvlText w:val="%2."/>
      <w:lvlJc w:val="left"/>
      <w:pPr>
        <w:ind w:hanging="360" w:left="1440"/>
      </w:pPr>
    </w:lvl>
    <w:lvl w:ilvl="2">
      <w:start w:val="1"/>
      <w:numFmt w:val="lowerRoman"/>
      <w:lvlText w:val="%3."/>
      <w:lvlJc w:val="right"/>
      <w:pPr>
        <w:ind w:hanging="180" w:left="2160"/>
      </w:pPr>
    </w:lvl>
    <w:lvl w:ilvl="3">
      <w:start w:val="1"/>
      <w:numFmt w:val="decimal"/>
      <w:lvlText w:val="%4."/>
      <w:lvlJc w:val="left"/>
      <w:pPr>
        <w:ind w:hanging="360" w:left="2880"/>
      </w:pPr>
    </w:lvl>
    <w:lvl w:ilvl="4">
      <w:start w:val="1"/>
      <w:numFmt w:val="lowerLetter"/>
      <w:lvlText w:val="%5."/>
      <w:lvlJc w:val="left"/>
      <w:pPr>
        <w:ind w:hanging="360" w:left="3600"/>
      </w:pPr>
    </w:lvl>
    <w:lvl w:ilvl="5">
      <w:start w:val="1"/>
      <w:numFmt w:val="lowerRoman"/>
      <w:lvlText w:val="%6."/>
      <w:lvlJc w:val="right"/>
      <w:pPr>
        <w:ind w:hanging="180" w:left="4320"/>
      </w:pPr>
    </w:lvl>
    <w:lvl w:ilvl="6">
      <w:start w:val="1"/>
      <w:numFmt w:val="decimal"/>
      <w:lvlText w:val="%7."/>
      <w:lvlJc w:val="left"/>
      <w:pPr>
        <w:ind w:hanging="360" w:left="5040"/>
      </w:pPr>
    </w:lvl>
    <w:lvl w:ilvl="7">
      <w:start w:val="1"/>
      <w:numFmt w:val="lowerLetter"/>
      <w:lvlText w:val="%8."/>
      <w:lvlJc w:val="left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180" w:left="6480"/>
      </w:pPr>
    </w:lvl>
  </w:abstractNum>
  <w:abstractNum w:abstractNumId="4">
    <w:lvl w:ilvl="0">
      <w:start w:val="1"/>
      <w:numFmt w:val="decimal"/>
      <w:lvlText w:val="%1."/>
      <w:lvlJc w:val="left"/>
      <w:pPr>
        <w:ind w:hanging="360" w:left="720"/>
      </w:pPr>
    </w:lvl>
    <w:lvl w:ilvl="1">
      <w:start w:val="1"/>
      <w:numFmt w:val="lowerLetter"/>
      <w:lvlText w:val="%2."/>
      <w:lvlJc w:val="left"/>
      <w:pPr>
        <w:ind w:hanging="360" w:left="1440"/>
      </w:pPr>
    </w:lvl>
    <w:lvl w:ilvl="2">
      <w:start w:val="1"/>
      <w:numFmt w:val="lowerRoman"/>
      <w:lvlText w:val="%3."/>
      <w:lvlJc w:val="right"/>
      <w:pPr>
        <w:ind w:hanging="180" w:left="2160"/>
      </w:pPr>
    </w:lvl>
    <w:lvl w:ilvl="3">
      <w:start w:val="1"/>
      <w:numFmt w:val="decimal"/>
      <w:lvlText w:val="%4."/>
      <w:lvlJc w:val="left"/>
      <w:pPr>
        <w:ind w:hanging="360" w:left="2880"/>
      </w:pPr>
    </w:lvl>
    <w:lvl w:ilvl="4">
      <w:start w:val="1"/>
      <w:numFmt w:val="lowerLetter"/>
      <w:lvlText w:val="%5."/>
      <w:lvlJc w:val="left"/>
      <w:pPr>
        <w:ind w:hanging="360" w:left="3600"/>
      </w:pPr>
    </w:lvl>
    <w:lvl w:ilvl="5">
      <w:start w:val="1"/>
      <w:numFmt w:val="lowerRoman"/>
      <w:lvlText w:val="%6."/>
      <w:lvlJc w:val="right"/>
      <w:pPr>
        <w:ind w:hanging="180" w:left="4320"/>
      </w:pPr>
    </w:lvl>
    <w:lvl w:ilvl="6">
      <w:start w:val="1"/>
      <w:numFmt w:val="decimal"/>
      <w:lvlText w:val="%7."/>
      <w:lvlJc w:val="left"/>
      <w:pPr>
        <w:ind w:hanging="360" w:left="5040"/>
      </w:pPr>
    </w:lvl>
    <w:lvl w:ilvl="7">
      <w:start w:val="1"/>
      <w:numFmt w:val="lowerLetter"/>
      <w:lvlText w:val="%8."/>
      <w:lvlJc w:val="left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180" w:left="6480"/>
      </w:pPr>
    </w:lvl>
  </w:abstractNum>
  <w:abstractNum w:abstractNumId="5">
    <w:lvl w:ilvl="0">
      <w:start w:val="1"/>
      <w:numFmt w:val="decimal"/>
      <w:lvlText w:val="%1."/>
      <w:lvlJc w:val="left"/>
      <w:pPr>
        <w:ind w:hanging="360" w:left="720"/>
      </w:pPr>
    </w:lvl>
    <w:lvl w:ilvl="1">
      <w:start w:val="1"/>
      <w:numFmt w:val="lowerLetter"/>
      <w:lvlText w:val="%2."/>
      <w:lvlJc w:val="left"/>
      <w:pPr>
        <w:ind w:hanging="360" w:left="1440"/>
      </w:pPr>
    </w:lvl>
    <w:lvl w:ilvl="2">
      <w:start w:val="1"/>
      <w:numFmt w:val="lowerRoman"/>
      <w:lvlText w:val="%3."/>
      <w:lvlJc w:val="right"/>
      <w:pPr>
        <w:ind w:hanging="180" w:left="2160"/>
      </w:pPr>
    </w:lvl>
    <w:lvl w:ilvl="3">
      <w:start w:val="1"/>
      <w:numFmt w:val="decimal"/>
      <w:lvlText w:val="%4."/>
      <w:lvlJc w:val="left"/>
      <w:pPr>
        <w:ind w:hanging="360" w:left="2880"/>
      </w:pPr>
    </w:lvl>
    <w:lvl w:ilvl="4">
      <w:start w:val="1"/>
      <w:numFmt w:val="lowerLetter"/>
      <w:lvlText w:val="%5."/>
      <w:lvlJc w:val="left"/>
      <w:pPr>
        <w:ind w:hanging="360" w:left="3600"/>
      </w:pPr>
    </w:lvl>
    <w:lvl w:ilvl="5">
      <w:start w:val="1"/>
      <w:numFmt w:val="lowerRoman"/>
      <w:lvlText w:val="%6."/>
      <w:lvlJc w:val="right"/>
      <w:pPr>
        <w:ind w:hanging="180" w:left="4320"/>
      </w:pPr>
    </w:lvl>
    <w:lvl w:ilvl="6">
      <w:start w:val="1"/>
      <w:numFmt w:val="decimal"/>
      <w:lvlText w:val="%7."/>
      <w:lvlJc w:val="left"/>
      <w:pPr>
        <w:ind w:hanging="360" w:left="5040"/>
      </w:pPr>
    </w:lvl>
    <w:lvl w:ilvl="7">
      <w:start w:val="1"/>
      <w:numFmt w:val="lowerLetter"/>
      <w:lvlText w:val="%8."/>
      <w:lvlJc w:val="left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180" w:left="6480"/>
      </w:pPr>
    </w:lvl>
  </w:abstractNum>
  <w:abstractNum w:abstractNumId="6">
    <w:lvl w:ilvl="0">
      <w:start w:val="1"/>
      <w:numFmt w:val="decimal"/>
      <w:lvlText w:val="%1."/>
      <w:lvlJc w:val="left"/>
      <w:pPr>
        <w:ind w:hanging="360" w:left="720"/>
      </w:pPr>
    </w:lvl>
    <w:lvl w:ilvl="1">
      <w:start w:val="1"/>
      <w:numFmt w:val="lowerLetter"/>
      <w:lvlText w:val="%2."/>
      <w:lvlJc w:val="left"/>
      <w:pPr>
        <w:ind w:hanging="360" w:left="1440"/>
      </w:pPr>
    </w:lvl>
    <w:lvl w:ilvl="2">
      <w:start w:val="1"/>
      <w:numFmt w:val="lowerRoman"/>
      <w:lvlText w:val="%3."/>
      <w:lvlJc w:val="right"/>
      <w:pPr>
        <w:ind w:hanging="180" w:left="2160"/>
      </w:pPr>
    </w:lvl>
    <w:lvl w:ilvl="3">
      <w:start w:val="1"/>
      <w:numFmt w:val="decimal"/>
      <w:lvlText w:val="%4."/>
      <w:lvlJc w:val="left"/>
      <w:pPr>
        <w:ind w:hanging="360" w:left="2880"/>
      </w:pPr>
    </w:lvl>
    <w:lvl w:ilvl="4">
      <w:start w:val="1"/>
      <w:numFmt w:val="lowerLetter"/>
      <w:lvlText w:val="%5."/>
      <w:lvlJc w:val="left"/>
      <w:pPr>
        <w:ind w:hanging="360" w:left="3600"/>
      </w:pPr>
    </w:lvl>
    <w:lvl w:ilvl="5">
      <w:start w:val="1"/>
      <w:numFmt w:val="lowerRoman"/>
      <w:lvlText w:val="%6."/>
      <w:lvlJc w:val="right"/>
      <w:pPr>
        <w:ind w:hanging="180" w:left="4320"/>
      </w:pPr>
    </w:lvl>
    <w:lvl w:ilvl="6">
      <w:start w:val="1"/>
      <w:numFmt w:val="decimal"/>
      <w:lvlText w:val="%7."/>
      <w:lvlJc w:val="left"/>
      <w:pPr>
        <w:ind w:hanging="360" w:left="5040"/>
      </w:pPr>
    </w:lvl>
    <w:lvl w:ilvl="7">
      <w:start w:val="1"/>
      <w:numFmt w:val="lowerLetter"/>
      <w:lvlText w:val="%8."/>
      <w:lvlJc w:val="left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180" w:left="648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pos="432" w:val="num"/>
        </w:tabs>
        <w:ind w:hanging="432" w:left="432"/>
      </w:pPr>
    </w:lvl>
    <w:lvl w:ilvl="1">
      <w:start w:val="1"/>
      <w:numFmt w:val="none"/>
      <w:suff w:val="nothing"/>
      <w:lvlText w:val=""/>
      <w:lvlJc w:val="left"/>
      <w:pPr>
        <w:tabs>
          <w:tab w:pos="576" w:val="num"/>
        </w:tabs>
        <w:ind w:hanging="576" w:left="576"/>
      </w:pPr>
    </w:lvl>
    <w:lvl w:ilvl="2">
      <w:start w:val="1"/>
      <w:numFmt w:val="none"/>
      <w:suff w:val="nothing"/>
      <w:lvlText w:val=""/>
      <w:lvlJc w:val="left"/>
      <w:pPr>
        <w:tabs>
          <w:tab w:pos="720" w:val="num"/>
        </w:tabs>
        <w:ind w:hanging="720" w:left="720"/>
      </w:pPr>
    </w:lvl>
    <w:lvl w:ilvl="3">
      <w:start w:val="1"/>
      <w:numFmt w:val="none"/>
      <w:suff w:val="nothing"/>
      <w:lvlText w:val=""/>
      <w:lvlJc w:val="left"/>
      <w:pPr>
        <w:tabs>
          <w:tab w:pos="864" w:val="num"/>
        </w:tabs>
        <w:ind w:hanging="864" w:left="864"/>
      </w:pPr>
    </w:lvl>
    <w:lvl w:ilvl="4">
      <w:start w:val="1"/>
      <w:numFmt w:val="none"/>
      <w:suff w:val="nothing"/>
      <w:lvlText w:val=""/>
      <w:lvlJc w:val="left"/>
      <w:pPr>
        <w:tabs>
          <w:tab w:pos="1008" w:val="num"/>
        </w:tabs>
        <w:ind w:hanging="1008" w:left="1008"/>
      </w:pPr>
    </w:lvl>
    <w:lvl w:ilvl="5">
      <w:start w:val="1"/>
      <w:numFmt w:val="none"/>
      <w:suff w:val="nothing"/>
      <w:lvlText w:val=""/>
      <w:lvlJc w:val="left"/>
      <w:pPr>
        <w:tabs>
          <w:tab w:pos="1152" w:val="num"/>
        </w:tabs>
        <w:ind w:hanging="1152" w:left="1152"/>
      </w:pPr>
    </w:lvl>
    <w:lvl w:ilvl="6">
      <w:start w:val="1"/>
      <w:numFmt w:val="none"/>
      <w:suff w:val="nothing"/>
      <w:lvlText w:val=""/>
      <w:lvlJc w:val="left"/>
      <w:pPr>
        <w:tabs>
          <w:tab w:pos="1296" w:val="num"/>
        </w:tabs>
        <w:ind w:hanging="1296" w:left="1296"/>
      </w:pPr>
    </w:lvl>
    <w:lvl w:ilvl="7">
      <w:start w:val="1"/>
      <w:numFmt w:val="none"/>
      <w:suff w:val="nothing"/>
      <w:lvlText w:val=""/>
      <w:lvlJc w:val="left"/>
      <w:pPr>
        <w:tabs>
          <w:tab w:pos="1440" w:val="num"/>
        </w:tabs>
        <w:ind w:hanging="1440" w:left="1440"/>
      </w:pPr>
    </w:lvl>
    <w:lvl w:ilvl="8">
      <w:start w:val="1"/>
      <w:numFmt w:val="none"/>
      <w:suff w:val="nothing"/>
      <w:lvlText w:val=""/>
      <w:lvlJc w:val="left"/>
      <w:pPr>
        <w:tabs>
          <w:tab w:pos="1584" w:val="num"/>
        </w:tabs>
        <w:ind w:hanging="1584" w:left="1584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200"/>
  <w:defaultTabStop w:val="720"/>
</w:settings>
</file>

<file path=word/styles.xml><?xml version="1.0" encoding="utf-8"?>
<w:styles xmlns:w="http://schemas.openxmlformats.org/wordprocessingml/2006/main">
  <w:style w:styleId="style0" w:type="paragraph">
    <w:name w:val="Výchozí styl"/>
    <w:next w:val="style0"/>
    <w:pPr>
      <w:widowControl/>
      <w:suppressAutoHyphens w:val="true"/>
      <w:spacing w:after="160" w:before="0" w:line="256" w:lineRule="auto"/>
      <w:contextualSpacing w:val="false"/>
    </w:pPr>
    <w:rPr>
      <w:rFonts w:ascii="Calibri" w:cs="Calibri" w:eastAsia="SimSun" w:hAnsi="Calibri"/>
      <w:color w:val="auto"/>
      <w:sz w:val="22"/>
      <w:szCs w:val="22"/>
      <w:lang w:bidi="ar-SA" w:eastAsia="en-US" w:val="en-US"/>
    </w:rPr>
  </w:style>
  <w:style w:styleId="style15" w:type="character">
    <w:name w:val="Default Paragraph Font"/>
    <w:next w:val="style15"/>
    <w:rPr/>
  </w:style>
  <w:style w:styleId="style16" w:type="paragraph">
    <w:name w:val="Nadpis"/>
    <w:basedOn w:val="style0"/>
    <w:next w:val="style17"/>
    <w:pPr>
      <w:keepNext/>
      <w:spacing w:after="120" w:before="240"/>
      <w:contextualSpacing w:val="false"/>
    </w:pPr>
    <w:rPr>
      <w:rFonts w:ascii="Arial" w:cs="Mangal" w:eastAsia="Microsoft YaHei" w:hAnsi="Arial"/>
      <w:sz w:val="28"/>
      <w:szCs w:val="28"/>
    </w:rPr>
  </w:style>
  <w:style w:styleId="style17" w:type="paragraph">
    <w:name w:val="Tělo textu"/>
    <w:basedOn w:val="style0"/>
    <w:next w:val="style17"/>
    <w:pPr>
      <w:spacing w:after="120" w:before="0"/>
      <w:contextualSpacing w:val="false"/>
    </w:pPr>
    <w:rPr/>
  </w:style>
  <w:style w:styleId="style18" w:type="paragraph">
    <w:name w:val="Seznam"/>
    <w:basedOn w:val="style17"/>
    <w:next w:val="style18"/>
    <w:pPr/>
    <w:rPr>
      <w:rFonts w:cs="Mangal"/>
    </w:rPr>
  </w:style>
  <w:style w:styleId="style19" w:type="paragraph">
    <w:name w:val="Popisek"/>
    <w:basedOn w:val="style0"/>
    <w:next w:val="style19"/>
    <w:pPr>
      <w:suppressLineNumbers/>
      <w:spacing w:after="120" w:before="120"/>
      <w:contextualSpacing w:val="false"/>
    </w:pPr>
    <w:rPr>
      <w:rFonts w:cs="Mangal"/>
      <w:i/>
      <w:iCs/>
      <w:sz w:val="24"/>
      <w:szCs w:val="24"/>
    </w:rPr>
  </w:style>
  <w:style w:styleId="style20" w:type="paragraph">
    <w:name w:val="Rejstřík"/>
    <w:basedOn w:val="style0"/>
    <w:next w:val="style20"/>
    <w:pPr>
      <w:suppressLineNumbers/>
    </w:pPr>
    <w:rPr>
      <w:rFonts w:cs="Mangal"/>
    </w:rPr>
  </w:style>
  <w:style w:styleId="style21" w:type="paragraph">
    <w:name w:val="List Paragraph"/>
    <w:basedOn w:val="style0"/>
    <w:next w:val="style21"/>
    <w:pPr>
      <w:spacing w:after="160" w:before="0"/>
      <w:ind w:hanging="0" w:left="720" w:right="0"/>
      <w:contextualSpacing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image" Target="media/image3.jpeg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874</TotalTime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2018-01-04T16:36:00.00Z</dcterms:created>
  <dc:creator>Dominik Kovařík</dc:creator>
  <cp:lastModifiedBy>Dominik Kovařík</cp:lastModifiedBy>
  <cp:lastPrinted>2018-01-09T10:55:00.00Z</cp:lastPrinted>
  <dcterms:modified xsi:type="dcterms:W3CDTF">2018-01-09T20:29:00.00Z</dcterms:modified>
  <cp:revision>3</cp:revision>
</cp:coreProperties>
</file>